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78" w:rsidRPr="00E14E78" w:rsidRDefault="00E14E78" w:rsidP="00E14E78">
      <w:pPr>
        <w:spacing w:line="480" w:lineRule="auto"/>
        <w:jc w:val="left"/>
        <w:rPr>
          <w:rFonts w:ascii="黑体" w:eastAsia="黑体" w:hAnsi="黑体"/>
          <w:color w:val="000000"/>
          <w:sz w:val="24"/>
        </w:rPr>
      </w:pPr>
      <w:r w:rsidRPr="00E14E78">
        <w:rPr>
          <w:rFonts w:ascii="黑体" w:eastAsia="黑体" w:hAnsi="黑体" w:hint="eastAsia"/>
          <w:color w:val="000000"/>
          <w:sz w:val="24"/>
        </w:rPr>
        <w:t>附件</w:t>
      </w:r>
      <w:r w:rsidR="00624C33">
        <w:rPr>
          <w:rFonts w:ascii="黑体" w:eastAsia="黑体" w:hAnsi="黑体" w:hint="eastAsia"/>
          <w:color w:val="000000"/>
          <w:sz w:val="24"/>
        </w:rPr>
        <w:t>1</w:t>
      </w:r>
      <w:r w:rsidR="00072755">
        <w:rPr>
          <w:rFonts w:ascii="黑体" w:eastAsia="黑体" w:hAnsi="黑体" w:hint="eastAsia"/>
          <w:color w:val="000000"/>
          <w:sz w:val="24"/>
        </w:rPr>
        <w:t>1</w:t>
      </w:r>
      <w:r w:rsidRPr="00E14E78">
        <w:rPr>
          <w:rFonts w:ascii="黑体" w:eastAsia="黑体" w:hAnsi="黑体" w:hint="eastAsia"/>
          <w:color w:val="000000"/>
          <w:sz w:val="24"/>
        </w:rPr>
        <w:t>：</w:t>
      </w:r>
    </w:p>
    <w:p w:rsidR="00201A91" w:rsidRPr="00A7082F" w:rsidRDefault="00A7082F" w:rsidP="00201A91">
      <w:pPr>
        <w:spacing w:line="480" w:lineRule="auto"/>
        <w:jc w:val="center"/>
        <w:rPr>
          <w:rFonts w:ascii="黑体" w:eastAsia="黑体" w:hAnsi="黑体"/>
          <w:color w:val="000000"/>
          <w:sz w:val="30"/>
          <w:szCs w:val="30"/>
        </w:rPr>
      </w:pPr>
      <w:r>
        <w:rPr>
          <w:rFonts w:ascii="黑体" w:eastAsia="黑体" w:hAnsi="黑体" w:hint="eastAsia"/>
          <w:color w:val="000000"/>
          <w:sz w:val="30"/>
          <w:szCs w:val="30"/>
        </w:rPr>
        <w:t>2</w:t>
      </w:r>
      <w:r w:rsidRPr="00A7082F">
        <w:rPr>
          <w:rFonts w:ascii="黑体" w:eastAsia="黑体" w:hAnsi="黑体" w:hint="eastAsia"/>
          <w:color w:val="000000"/>
          <w:sz w:val="30"/>
          <w:szCs w:val="30"/>
        </w:rPr>
        <w:t>014年</w:t>
      </w:r>
      <w:r w:rsidR="00201A91" w:rsidRPr="00A7082F">
        <w:rPr>
          <w:rFonts w:ascii="黑体" w:eastAsia="黑体" w:hAnsi="黑体" w:hint="eastAsia"/>
          <w:color w:val="000000"/>
          <w:sz w:val="30"/>
          <w:szCs w:val="30"/>
        </w:rPr>
        <w:t>上海师范大学暑期社会实践调研方向参考</w:t>
      </w:r>
    </w:p>
    <w:p w:rsidR="000B471C" w:rsidRDefault="00B05049" w:rsidP="00201A91">
      <w:pPr>
        <w:spacing w:line="480" w:lineRule="auto"/>
        <w:jc w:val="center"/>
        <w:rPr>
          <w:rFonts w:ascii="黑体" w:eastAsia="黑体" w:hAnsi="黑体"/>
          <w:b/>
          <w:color w:val="000000"/>
          <w:sz w:val="32"/>
        </w:rPr>
      </w:pPr>
      <w:r w:rsidRPr="00B05049">
        <w:rPr>
          <w:rFonts w:ascii="黑体" w:eastAsia="黑体" w:hAnsi="黑体" w:hint="eastAsia"/>
          <w:b/>
          <w:color w:val="000000"/>
          <w:sz w:val="22"/>
        </w:rPr>
        <w:t>（供参考，也可自行选题）</w:t>
      </w:r>
      <w:bookmarkStart w:id="0" w:name="_GoBack"/>
      <w:bookmarkEnd w:id="0"/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b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4"/>
        </w:rPr>
        <w:t>一、共青团和青少年工作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1、团干部意识形态工作能力现状及对策研究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 w:cs="Arial"/>
          <w:color w:val="000000"/>
          <w:sz w:val="28"/>
          <w:szCs w:val="24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2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t>、枢纽型社会组织运行模式及对共青团组织建设的启示研究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3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t>、共青团服务青年能力建设问题研究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4、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t>青年阶层固化与社会流动问题研究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5、青年自组织的发展状况调查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6、青年企业家生存发展状况调查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7、</w:t>
      </w: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农村留守儿童教育问题调查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8、农村基层团组织建设调查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9、共青团提升青年群众工作能力水平路径方法研究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10、共青团促进青年就业创业路径调查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b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4"/>
        </w:rPr>
        <w:t>二、青少年发展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1、大学生网络公益信息传播平台设立研究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2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t>、大学生信息检索能力现状及提升措施调研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3、社会实践活动对大学毕业生择业意向的影响调查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4、中国优秀传统文化对青少年教育影响调查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5、大学生性别与外观的审美观现状调研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6、志愿者服务和幸福城市建设研究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7、网络社区“意见领袖”现象研究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8、本科创新型人才“团队式”培养模式探索与实践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9、</w:t>
      </w:r>
      <w:proofErr w:type="gramStart"/>
      <w:r>
        <w:rPr>
          <w:rFonts w:ascii="华文仿宋" w:eastAsia="华文仿宋" w:hAnsi="华文仿宋" w:hint="eastAsia"/>
          <w:color w:val="000000"/>
          <w:sz w:val="28"/>
          <w:szCs w:val="24"/>
        </w:rPr>
        <w:t>微博客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4"/>
        </w:rPr>
        <w:t>发展对青少年的影响与对策研究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10、流行文化对青少年成长的影响调查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11、宗教影响与青少年成长调查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 w:cs="Arial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12、</w:t>
      </w: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流动青年生存、发展状况调查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 w:cs="Arial"/>
          <w:color w:val="000000"/>
          <w:sz w:val="28"/>
          <w:szCs w:val="24"/>
        </w:rPr>
      </w:pPr>
      <w:r>
        <w:rPr>
          <w:rFonts w:ascii="华文仿宋" w:eastAsia="华文仿宋" w:hAnsi="华文仿宋" w:cs="Arial" w:hint="eastAsia"/>
          <w:color w:val="000000"/>
          <w:sz w:val="28"/>
          <w:szCs w:val="24"/>
        </w:rPr>
        <w:t>13、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t>现代传媒对青少年影响调查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14、学生创新精神和实践能力培养的调查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15、大学生创业园（留学生创业园、大学科技园）发展调查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16、高校毕业生就业指导和服务状况调查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lastRenderedPageBreak/>
        <w:t>17、鼓励和扶持大学生创新创业的政策措施落实调查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18、大学生法制教育与有不良行为青少年帮教问题研究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19、大学生“村官”融入村级治理现状的分析与思考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20、职业素质导向下的学生能力评价指标体系研究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21、</w:t>
      </w:r>
      <w:hyperlink r:id="rId8" w:tooltip="自主创新对大学生就业影响的调查研究" w:history="1">
        <w:r>
          <w:rPr>
            <w:rFonts w:ascii="华文仿宋" w:eastAsia="华文仿宋" w:hAnsi="华文仿宋"/>
            <w:color w:val="000000"/>
            <w:sz w:val="28"/>
            <w:szCs w:val="24"/>
          </w:rPr>
          <w:t>自主创新对大学生就业影响的调查研究</w:t>
        </w:r>
      </w:hyperlink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22、小学教育本科生实践能力现状的调查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23、大学生创业素质的培养与提升的研究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24、大学生政治意识和输出表达机制研究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25、大学外地新生入学适应研究与应对机制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26、大学生应急能力现状和培养途径的调查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27、外地大学生融入上海状况研究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28、乡土认同对少数民族学生就业意向的影响与教育研究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29、校园流行语、公共宣传栏文化研究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30. 大学生“宅”生活调查研究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b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4"/>
        </w:rPr>
        <w:t>三、文化和社会发展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1、新生代农民工对于推进城镇化的影响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2、银行业务收费对消费者的影响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3、当前沿海经济区、沿河经济区的辐射带动效应研究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4、市民对公共交通设施的满意度调查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5、新传媒引领大众生活的影响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6、上海社区矫正制度现存问题及对策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7、推行经济适用房的利弊研究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8、</w:t>
      </w:r>
      <w:hyperlink r:id="rId9" w:tgtFrame="_blank" w:tooltip="该结果由http://www.cqvip.com/提供" w:history="1">
        <w:r>
          <w:rPr>
            <w:rFonts w:ascii="华文仿宋" w:eastAsia="华文仿宋" w:hAnsi="华文仿宋" w:hint="eastAsia"/>
            <w:color w:val="000000"/>
            <w:sz w:val="28"/>
            <w:szCs w:val="24"/>
          </w:rPr>
          <w:t xml:space="preserve">我国食品安全的现状及亟待解决的问题 </w:t>
        </w:r>
      </w:hyperlink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9、我国教育资源非配不均现象的调查与研究</w:t>
      </w:r>
    </w:p>
    <w:p w:rsidR="000B471C" w:rsidRDefault="000B471C" w:rsidP="000B471C">
      <w:pPr>
        <w:tabs>
          <w:tab w:val="left" w:pos="2580"/>
        </w:tabs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10、农村医疗保障制度的调查与研究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11、市民对公益文化品牌项目的满意度研究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12、市民对开展慈善活动的信任度研究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13、网络文化冲击传统文化给市民生活带来的影响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14、推行异地高考制度的利弊分析</w:t>
      </w:r>
    </w:p>
    <w:p w:rsidR="000B471C" w:rsidRDefault="000B471C" w:rsidP="000B471C">
      <w:pPr>
        <w:adjustRightInd w:val="0"/>
        <w:snapToGrid w:val="0"/>
        <w:spacing w:line="240" w:lineRule="atLeast"/>
        <w:jc w:val="lef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15、自主创新与知识产权保护调查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16、困难群体（失业职工、零就业、失地农民等）就业状况调查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17、基层民主有效实现形式调查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18、城市低收入群体、进城务工人员、农村留守儿童的精神文化生活</w:t>
      </w:r>
      <w:r>
        <w:rPr>
          <w:rFonts w:ascii="华文仿宋" w:eastAsia="华文仿宋" w:hAnsi="华文仿宋" w:hint="eastAsia"/>
          <w:color w:val="000000"/>
          <w:sz w:val="28"/>
          <w:szCs w:val="24"/>
        </w:rPr>
        <w:lastRenderedPageBreak/>
        <w:t>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19、农村留守儿童独立性及其社会关系状况的调查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20、进城农民工随迁未成年子女的生存和发展状况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21、民间非遗文化的生存现状与保护机制研究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22、西部农村返乡就业大学生生存状态调查研究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23、文化创意、动漫游戏等新兴产业发展调查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24、国有经营性文化</w:t>
      </w:r>
      <w:proofErr w:type="gramStart"/>
      <w:r>
        <w:rPr>
          <w:rFonts w:ascii="华文仿宋" w:eastAsia="华文仿宋" w:hAnsi="华文仿宋" w:hint="eastAsia"/>
          <w:color w:val="000000"/>
          <w:sz w:val="28"/>
          <w:szCs w:val="24"/>
        </w:rPr>
        <w:t>单位转企改制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4"/>
        </w:rPr>
        <w:t>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25、城乡社区医疗卫生服务体系建设状况调查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26、新型农村养老保险制度建设调查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27、农民工社会保障问题调查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28、引进海外高层次人才中需要解决的困难和问题调查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29、后退耕时代农民利益的维护与保障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30、外来新生代农民工流动性和回乡创业意愿分析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31、城郊新市民群体幸福感研究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32、新生代农民工对组织认同状况的研究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33、农民工职业安全与工伤保障研究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34、外来务工人员医疗保险改革和创新典型调查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35、经济欠发达城市社会化养老问题研究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36、农村老年人生存状况及其影响因素研究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37、人口老龄化背景下社区养老问题调查与思考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38、</w:t>
      </w:r>
      <w:proofErr w:type="gramStart"/>
      <w:r>
        <w:rPr>
          <w:rFonts w:ascii="华文仿宋" w:eastAsia="华文仿宋" w:hAnsi="华文仿宋" w:hint="eastAsia"/>
          <w:color w:val="000000"/>
          <w:sz w:val="28"/>
          <w:szCs w:val="24"/>
        </w:rPr>
        <w:t>微博问</w:t>
      </w:r>
      <w:proofErr w:type="gramEnd"/>
      <w:r>
        <w:rPr>
          <w:rFonts w:ascii="华文仿宋" w:eastAsia="华文仿宋" w:hAnsi="华文仿宋" w:hint="eastAsia"/>
          <w:color w:val="000000"/>
          <w:sz w:val="28"/>
          <w:szCs w:val="24"/>
        </w:rPr>
        <w:t>政的规范化研究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39、构建农村留守群体医疗服务绿色通道的研究</w:t>
      </w:r>
    </w:p>
    <w:p w:rsidR="000B471C" w:rsidRDefault="000B471C" w:rsidP="000B471C">
      <w:pPr>
        <w:adjustRightInd w:val="0"/>
        <w:snapToGrid w:val="0"/>
        <w:spacing w:line="240" w:lineRule="atLeast"/>
        <w:rPr>
          <w:rFonts w:ascii="华文仿宋" w:eastAsia="华文仿宋" w:hAnsi="华文仿宋"/>
          <w:color w:val="000000"/>
          <w:sz w:val="28"/>
          <w:szCs w:val="24"/>
        </w:rPr>
      </w:pPr>
      <w:r>
        <w:rPr>
          <w:rFonts w:ascii="华文仿宋" w:eastAsia="华文仿宋" w:hAnsi="华文仿宋" w:hint="eastAsia"/>
          <w:color w:val="000000"/>
          <w:sz w:val="28"/>
          <w:szCs w:val="24"/>
        </w:rPr>
        <w:t>40、我国传统节日民俗活动情况调查</w:t>
      </w:r>
    </w:p>
    <w:p w:rsidR="000B471C" w:rsidRDefault="000B471C" w:rsidP="000B471C">
      <w:pPr>
        <w:spacing w:line="480" w:lineRule="auto"/>
        <w:jc w:val="left"/>
        <w:rPr>
          <w:rFonts w:ascii="黑体" w:eastAsia="黑体" w:hAnsi="黑体"/>
          <w:b/>
          <w:color w:val="000000"/>
          <w:sz w:val="32"/>
        </w:rPr>
      </w:pPr>
    </w:p>
    <w:p w:rsidR="003C7DF7" w:rsidRPr="00201A91" w:rsidRDefault="003C7DF7"/>
    <w:sectPr w:rsidR="003C7DF7" w:rsidRPr="0020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EC" w:rsidRDefault="007C3CEC" w:rsidP="00201A91">
      <w:r>
        <w:separator/>
      </w:r>
    </w:p>
  </w:endnote>
  <w:endnote w:type="continuationSeparator" w:id="0">
    <w:p w:rsidR="007C3CEC" w:rsidRDefault="007C3CEC" w:rsidP="0020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EC" w:rsidRDefault="007C3CEC" w:rsidP="00201A91">
      <w:r>
        <w:separator/>
      </w:r>
    </w:p>
  </w:footnote>
  <w:footnote w:type="continuationSeparator" w:id="0">
    <w:p w:rsidR="007C3CEC" w:rsidRDefault="007C3CEC" w:rsidP="0020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76DFA"/>
    <w:multiLevelType w:val="hybridMultilevel"/>
    <w:tmpl w:val="CAA6DE9C"/>
    <w:lvl w:ilvl="0" w:tplc="46AEE2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37"/>
    <w:rsid w:val="00072755"/>
    <w:rsid w:val="00074D20"/>
    <w:rsid w:val="000B471C"/>
    <w:rsid w:val="001C16AF"/>
    <w:rsid w:val="00201A91"/>
    <w:rsid w:val="003C7DF7"/>
    <w:rsid w:val="004C049D"/>
    <w:rsid w:val="00624C33"/>
    <w:rsid w:val="006C683C"/>
    <w:rsid w:val="007C3CEC"/>
    <w:rsid w:val="007E6BD5"/>
    <w:rsid w:val="00A7082F"/>
    <w:rsid w:val="00B05049"/>
    <w:rsid w:val="00E14E78"/>
    <w:rsid w:val="00F53FCD"/>
    <w:rsid w:val="00F8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A91"/>
    <w:rPr>
      <w:sz w:val="18"/>
      <w:szCs w:val="18"/>
    </w:rPr>
  </w:style>
  <w:style w:type="paragraph" w:styleId="a5">
    <w:name w:val="List Paragraph"/>
    <w:basedOn w:val="a"/>
    <w:uiPriority w:val="34"/>
    <w:qFormat/>
    <w:rsid w:val="000B471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A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A91"/>
    <w:rPr>
      <w:sz w:val="18"/>
      <w:szCs w:val="18"/>
    </w:rPr>
  </w:style>
  <w:style w:type="paragraph" w:styleId="a5">
    <w:name w:val="List Paragraph"/>
    <w:basedOn w:val="a"/>
    <w:uiPriority w:val="34"/>
    <w:qFormat/>
    <w:rsid w:val="000B4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aozhanbei.net/project/1676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qvip.com/qk/82833X/200502/1561640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2013-06-04T10:08:00Z</dcterms:created>
  <dcterms:modified xsi:type="dcterms:W3CDTF">2014-05-12T08:11:00Z</dcterms:modified>
</cp:coreProperties>
</file>